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837FFD" w:rsidRDefault="00837FFD" w:rsidP="00E1052A">
      <w:pPr>
        <w:spacing w:line="480" w:lineRule="auto"/>
        <w:jc w:val="center"/>
        <w:rPr>
          <w:rFonts w:ascii="Times New Roman" w:hAnsi="Times New Roman" w:cs="Times New Roman"/>
          <w:bCs/>
          <w:sz w:val="24"/>
          <w:szCs w:val="24"/>
        </w:rPr>
      </w:pPr>
      <w:r w:rsidRPr="00DF2141">
        <w:rPr>
          <w:rFonts w:ascii="Times New Roman" w:hAnsi="Times New Roman" w:cs="Times New Roman"/>
          <w:bCs/>
          <w:sz w:val="24"/>
          <w:szCs w:val="24"/>
        </w:rPr>
        <w:t>Chapter 7</w:t>
      </w:r>
    </w:p>
    <w:p w:rsidR="00DF2141" w:rsidRDefault="00DF2141" w:rsidP="00E1052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Name </w:t>
      </w:r>
    </w:p>
    <w:p w:rsidR="00DF2141" w:rsidRDefault="00DF2141" w:rsidP="00E1052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w:t>
      </w:r>
    </w:p>
    <w:p w:rsidR="00DF2141" w:rsidRDefault="00DF2141" w:rsidP="00E1052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E1052A" w:rsidRDefault="00E1052A" w:rsidP="00E1052A">
      <w:pPr>
        <w:spacing w:line="480" w:lineRule="auto"/>
        <w:rPr>
          <w:rFonts w:ascii="Times New Roman" w:hAnsi="Times New Roman" w:cs="Times New Roman"/>
          <w:bCs/>
          <w:sz w:val="24"/>
          <w:szCs w:val="24"/>
        </w:rPr>
      </w:pPr>
    </w:p>
    <w:p w:rsidR="00E1052A" w:rsidRDefault="00E1052A" w:rsidP="00E1052A">
      <w:pPr>
        <w:spacing w:line="480" w:lineRule="auto"/>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p>
    <w:p w:rsidR="00DF2141" w:rsidRDefault="00DF2141" w:rsidP="00E1052A">
      <w:pPr>
        <w:spacing w:line="480" w:lineRule="auto"/>
        <w:jc w:val="center"/>
        <w:rPr>
          <w:rFonts w:ascii="Times New Roman" w:hAnsi="Times New Roman" w:cs="Times New Roman"/>
          <w:bCs/>
          <w:sz w:val="24"/>
          <w:szCs w:val="24"/>
        </w:rPr>
      </w:pPr>
      <w:r w:rsidRPr="00DF2141">
        <w:rPr>
          <w:rFonts w:ascii="Times New Roman" w:hAnsi="Times New Roman" w:cs="Times New Roman"/>
          <w:bCs/>
          <w:sz w:val="24"/>
          <w:szCs w:val="24"/>
        </w:rPr>
        <w:lastRenderedPageBreak/>
        <w:t>Chapter 7</w:t>
      </w:r>
    </w:p>
    <w:p w:rsidR="00932221" w:rsidRPr="00DF2141" w:rsidRDefault="00932221" w:rsidP="00E1052A">
      <w:pPr>
        <w:pStyle w:val="NormalWeb"/>
        <w:spacing w:before="0" w:beforeAutospacing="0" w:after="0" w:afterAutospacing="0" w:line="480" w:lineRule="auto"/>
        <w:jc w:val="center"/>
      </w:pPr>
      <w:r w:rsidRPr="00DF2141">
        <w:rPr>
          <w:rStyle w:val="Strong"/>
        </w:rPr>
        <w:t>R7.2 (LO 1)</w:t>
      </w:r>
    </w:p>
    <w:p w:rsidR="00932221" w:rsidRPr="00DF2141" w:rsidRDefault="00932221" w:rsidP="00E1052A">
      <w:pPr>
        <w:pStyle w:val="NormalWeb"/>
        <w:spacing w:before="0" w:beforeAutospacing="0" w:after="0" w:afterAutospacing="0" w:line="480" w:lineRule="auto"/>
        <w:ind w:firstLine="720"/>
      </w:pPr>
      <w:r w:rsidRPr="00DF2141">
        <w:t>When panning ADA, one should put into consideration some key issues. The Auditor should consider on what financial statement items and related assertions are the subjects of focus in the audited. The Auditor should also consider the general role of the ADA application in addition to its contributions towards balancing the audit (Titera, 2013). For instance, the Auditor may check on whether the ADA can be applied to carry as a substantive test risk or as an assessment procedure. From another point of view, the Auditor should put into consideration the audit sample being audited. The Auditor should also consider the significance of the data to the audit assertion(s) being tested, and the availability and reliability of the data (Titera, 2013). Finally, the Auditor should put into consideration the best ADA tool suitable for the audit purpose. In this concern, the Auditor should factor the analytical techniques to be used.</w:t>
      </w:r>
    </w:p>
    <w:p w:rsidR="00932221" w:rsidRPr="00DF2141" w:rsidRDefault="00932221" w:rsidP="00E1052A">
      <w:pPr>
        <w:pStyle w:val="NormalWeb"/>
        <w:spacing w:before="0" w:beforeAutospacing="0" w:after="0" w:afterAutospacing="0" w:line="480" w:lineRule="auto"/>
        <w:ind w:firstLine="720"/>
      </w:pPr>
    </w:p>
    <w:p w:rsidR="00932221" w:rsidRPr="00DF2141" w:rsidRDefault="00932221" w:rsidP="00E1052A">
      <w:pPr>
        <w:pStyle w:val="NormalWeb"/>
        <w:spacing w:before="0" w:beforeAutospacing="0" w:after="0" w:afterAutospacing="0" w:line="480" w:lineRule="auto"/>
        <w:jc w:val="center"/>
      </w:pPr>
      <w:r w:rsidRPr="00DF2141">
        <w:rPr>
          <w:rStyle w:val="Strong"/>
        </w:rPr>
        <w:t>R7.3 (LO 2)</w:t>
      </w:r>
    </w:p>
    <w:p w:rsidR="00932221" w:rsidRPr="00DF2141" w:rsidRDefault="00932221" w:rsidP="00E1052A">
      <w:pPr>
        <w:pStyle w:val="NormalWeb"/>
        <w:spacing w:before="0" w:beforeAutospacing="0" w:after="0" w:afterAutospacing="0" w:line="480" w:lineRule="auto"/>
        <w:ind w:firstLine="720"/>
      </w:pPr>
      <w:r w:rsidRPr="00DF2141">
        <w:t>It is particularly essential for the Auditor to have a thorough understanding of the internal controls over the documents set. Whenever the internal controls seems to be weaker, the data set be erroneous featured with misstatements and inaccuracies, or the data may be incomplete (Titera, 2013). The Auditor may be required to examine whether the data set needs to be subjected to audit procedures in an effort to verify the data prior to using it to draw an audit assumption. From another point of view, the Auditor is likely to gain confidence and feel more contented when making use of data set that comes from a reliable system of internal controls, and the controls enhance some authentication of the dependability of the data set.</w:t>
      </w:r>
    </w:p>
    <w:p w:rsidR="00425CB5" w:rsidRDefault="00425CB5" w:rsidP="00E1052A">
      <w:pPr>
        <w:pStyle w:val="NormalWeb"/>
        <w:spacing w:before="0" w:beforeAutospacing="0" w:after="0" w:afterAutospacing="0" w:line="480" w:lineRule="auto"/>
        <w:jc w:val="center"/>
        <w:rPr>
          <w:rStyle w:val="Strong"/>
        </w:rPr>
      </w:pPr>
    </w:p>
    <w:p w:rsidR="00932221" w:rsidRPr="00DF2141" w:rsidRDefault="00932221" w:rsidP="00E1052A">
      <w:pPr>
        <w:pStyle w:val="NormalWeb"/>
        <w:spacing w:before="0" w:beforeAutospacing="0" w:after="0" w:afterAutospacing="0" w:line="480" w:lineRule="auto"/>
        <w:jc w:val="center"/>
      </w:pPr>
      <w:r w:rsidRPr="00DF2141">
        <w:rPr>
          <w:rStyle w:val="Strong"/>
        </w:rPr>
        <w:lastRenderedPageBreak/>
        <w:t>R7.7 (L0 4</w:t>
      </w:r>
      <w:r w:rsidRPr="00DF2141">
        <w:t>)</w:t>
      </w:r>
    </w:p>
    <w:p w:rsidR="00932221" w:rsidRPr="00DF2141" w:rsidRDefault="00932221" w:rsidP="00E1052A">
      <w:pPr>
        <w:pStyle w:val="NormalWeb"/>
        <w:spacing w:before="0" w:beforeAutospacing="0" w:after="0" w:afterAutospacing="0" w:line="480" w:lineRule="auto"/>
        <w:ind w:firstLine="720"/>
      </w:pPr>
      <w:r w:rsidRPr="00DF2141">
        <w:t>Data visualizations are the act of placing data into a visual context, thus making it easier for one to understand. ADA entails the use of various programs and procedures to test a large volume of data. Visualizations may be tailored to work in line with ADA in varied ways after running the data through an Excel spreadsheet (Titera, 2013). This final data may be projected and presented in bar graphs, flowcharts, and pie charts. Visualizations are important since they allow for easier comprehension of the data to both the business owners and the stakeholders. Visualizations may also help the users of the ADA system to predict a pattern in the trends associated with the data available to them and, as such, forecast the occurrence of certain events and take necessary steps as countermeasures. Visualizations offer a neat and easier way to store data for use in the future since it requires projecting them into visuals that are easier to access.</w:t>
      </w:r>
    </w:p>
    <w:p w:rsidR="00932221" w:rsidRPr="00DF2141" w:rsidRDefault="00932221" w:rsidP="00E1052A">
      <w:pPr>
        <w:pStyle w:val="NormalWeb"/>
        <w:spacing w:before="0" w:beforeAutospacing="0" w:after="0" w:afterAutospacing="0" w:line="480" w:lineRule="auto"/>
        <w:jc w:val="center"/>
      </w:pPr>
      <w:r w:rsidRPr="00DF2141">
        <w:rPr>
          <w:rStyle w:val="Strong"/>
        </w:rPr>
        <w:t>R7.11 (LO 5, 6)</w:t>
      </w:r>
    </w:p>
    <w:p w:rsidR="00932221" w:rsidRPr="00DF2141" w:rsidRDefault="00932221" w:rsidP="00E1052A">
      <w:pPr>
        <w:pStyle w:val="NormalWeb"/>
        <w:spacing w:before="0" w:beforeAutospacing="0" w:after="0" w:afterAutospacing="0" w:line="480" w:lineRule="auto"/>
        <w:ind w:firstLine="720"/>
      </w:pPr>
      <w:r w:rsidRPr="00DF2141">
        <w:t xml:space="preserve">If the Auditor concludes that the previously assessed internal control was erroneous, the internal control may be found to be effective while it was not so. In this situation, the Auditor </w:t>
      </w:r>
      <w:r w:rsidR="00DF2141" w:rsidRPr="00DF2141">
        <w:t>considers the impact of it on; t</w:t>
      </w:r>
      <w:r w:rsidRPr="00DF2141">
        <w:t>he extent of the auditing procedures and the materiality level. The Auditor may recommend a strong control environment to correct the anomaly, by including a tight budgetary control and an effective internal audit function (Hoffmann, Berettoni, Erdelmeier, &amp; Egetoft, 2016). A strong control environment is often viewed as the cornerstone of internal control systems. The difference in the conclusion may also have been as a result of a momentary lapse in the control procedures. The Auditor in his audit report may recommend a range of audit procedures from the segregation of duties to supervision and physical controls.</w:t>
      </w:r>
    </w:p>
    <w:p w:rsidR="00932221" w:rsidRPr="00DF2141" w:rsidRDefault="00932221" w:rsidP="00E1052A">
      <w:pPr>
        <w:spacing w:line="480" w:lineRule="auto"/>
        <w:rPr>
          <w:rFonts w:ascii="Times New Roman" w:hAnsi="Times New Roman" w:cs="Times New Roman"/>
          <w:sz w:val="24"/>
          <w:szCs w:val="24"/>
        </w:rPr>
      </w:pPr>
    </w:p>
    <w:p w:rsidR="00DF2141" w:rsidRPr="00DF2141" w:rsidRDefault="00DF2141" w:rsidP="00E1052A">
      <w:pPr>
        <w:spacing w:line="480" w:lineRule="auto"/>
        <w:rPr>
          <w:rFonts w:ascii="Times New Roman" w:hAnsi="Times New Roman" w:cs="Times New Roman"/>
          <w:sz w:val="24"/>
          <w:szCs w:val="24"/>
        </w:rPr>
      </w:pPr>
      <w:bookmarkStart w:id="0" w:name="_GoBack"/>
      <w:bookmarkEnd w:id="0"/>
    </w:p>
    <w:p w:rsidR="00E76AFF" w:rsidRPr="00DF2141" w:rsidRDefault="00EC453C" w:rsidP="00E1052A">
      <w:pPr>
        <w:spacing w:line="480" w:lineRule="auto"/>
        <w:jc w:val="center"/>
        <w:rPr>
          <w:rFonts w:ascii="Times New Roman" w:hAnsi="Times New Roman" w:cs="Times New Roman"/>
          <w:sz w:val="24"/>
          <w:szCs w:val="24"/>
        </w:rPr>
      </w:pPr>
      <w:r w:rsidRPr="00DF2141">
        <w:rPr>
          <w:rFonts w:ascii="Times New Roman" w:hAnsi="Times New Roman" w:cs="Times New Roman"/>
          <w:sz w:val="24"/>
          <w:szCs w:val="24"/>
        </w:rPr>
        <w:lastRenderedPageBreak/>
        <w:t>Reference</w:t>
      </w:r>
    </w:p>
    <w:p w:rsidR="00DF2141" w:rsidRPr="00DF2141" w:rsidRDefault="00DF2141" w:rsidP="00E1052A">
      <w:pPr>
        <w:spacing w:line="480" w:lineRule="auto"/>
        <w:ind w:left="720" w:hanging="720"/>
        <w:rPr>
          <w:rFonts w:ascii="Times New Roman" w:hAnsi="Times New Roman" w:cs="Times New Roman"/>
          <w:sz w:val="24"/>
          <w:szCs w:val="24"/>
        </w:rPr>
      </w:pPr>
      <w:r w:rsidRPr="00DF2141">
        <w:rPr>
          <w:rFonts w:ascii="Times New Roman" w:hAnsi="Times New Roman" w:cs="Times New Roman"/>
          <w:sz w:val="24"/>
          <w:szCs w:val="24"/>
          <w:shd w:val="clear" w:color="auto" w:fill="FFFFFF"/>
        </w:rPr>
        <w:t>Hoffmann, M., Berettoni, E., Erdelmeier, M., &amp; Egetoft, V. (2016). Integration of big-data analysis into audit engagement software</w:t>
      </w:r>
      <w:r w:rsidRPr="00DF2141">
        <w:rPr>
          <w:rFonts w:ascii="Times New Roman" w:hAnsi="Times New Roman" w:cs="Times New Roman"/>
          <w:sz w:val="24"/>
          <w:szCs w:val="24"/>
          <w:shd w:val="clear" w:color="auto" w:fill="FFFFFF"/>
        </w:rPr>
        <w:t xml:space="preserve">. </w:t>
      </w:r>
      <w:r w:rsidRPr="00DF2141">
        <w:rPr>
          <w:rFonts w:ascii="Times New Roman" w:hAnsi="Times New Roman" w:cs="Times New Roman"/>
          <w:i/>
          <w:iCs/>
          <w:sz w:val="24"/>
          <w:szCs w:val="24"/>
          <w:shd w:val="clear" w:color="auto" w:fill="FFFFFF"/>
        </w:rPr>
        <w:t>U.S. Patent Application No. 14/559,544</w:t>
      </w:r>
      <w:r w:rsidRPr="00DF2141">
        <w:rPr>
          <w:rFonts w:ascii="Times New Roman" w:hAnsi="Times New Roman" w:cs="Times New Roman"/>
          <w:sz w:val="24"/>
          <w:szCs w:val="24"/>
          <w:shd w:val="clear" w:color="auto" w:fill="FFFFFF"/>
        </w:rPr>
        <w:t>.</w:t>
      </w:r>
    </w:p>
    <w:p w:rsidR="00DF2141" w:rsidRPr="00DF2141" w:rsidRDefault="00DF2141" w:rsidP="00E1052A">
      <w:pPr>
        <w:spacing w:line="480" w:lineRule="auto"/>
        <w:ind w:left="720" w:hanging="720"/>
        <w:rPr>
          <w:rFonts w:ascii="Times New Roman" w:hAnsi="Times New Roman" w:cs="Times New Roman"/>
          <w:sz w:val="24"/>
          <w:szCs w:val="24"/>
          <w:shd w:val="clear" w:color="auto" w:fill="FFFFFF"/>
        </w:rPr>
      </w:pPr>
      <w:r w:rsidRPr="00DF2141">
        <w:rPr>
          <w:rFonts w:ascii="Times New Roman" w:hAnsi="Times New Roman" w:cs="Times New Roman"/>
          <w:sz w:val="24"/>
          <w:szCs w:val="24"/>
          <w:shd w:val="clear" w:color="auto" w:fill="FFFFFF"/>
        </w:rPr>
        <w:t>Titera, W. R. (2013). Updating audit standard—</w:t>
      </w:r>
      <w:r w:rsidRPr="00DF2141">
        <w:rPr>
          <w:rFonts w:ascii="Times New Roman" w:hAnsi="Times New Roman" w:cs="Times New Roman"/>
          <w:sz w:val="24"/>
          <w:szCs w:val="24"/>
          <w:shd w:val="clear" w:color="auto" w:fill="FFFFFF"/>
        </w:rPr>
        <w:t>enabling</w:t>
      </w:r>
      <w:r w:rsidRPr="00DF2141">
        <w:rPr>
          <w:rFonts w:ascii="Times New Roman" w:hAnsi="Times New Roman" w:cs="Times New Roman"/>
          <w:sz w:val="24"/>
          <w:szCs w:val="24"/>
          <w:shd w:val="clear" w:color="auto" w:fill="FFFFFF"/>
        </w:rPr>
        <w:t xml:space="preserve"> audit data analysis. </w:t>
      </w:r>
      <w:r w:rsidRPr="00DF2141">
        <w:rPr>
          <w:rFonts w:ascii="Times New Roman" w:hAnsi="Times New Roman" w:cs="Times New Roman"/>
          <w:i/>
          <w:iCs/>
          <w:sz w:val="24"/>
          <w:szCs w:val="24"/>
          <w:shd w:val="clear" w:color="auto" w:fill="FFFFFF"/>
        </w:rPr>
        <w:t>Journal of Information Systems</w:t>
      </w:r>
      <w:r w:rsidRPr="00DF2141">
        <w:rPr>
          <w:rFonts w:ascii="Times New Roman" w:hAnsi="Times New Roman" w:cs="Times New Roman"/>
          <w:sz w:val="24"/>
          <w:szCs w:val="24"/>
          <w:shd w:val="clear" w:color="auto" w:fill="FFFFFF"/>
        </w:rPr>
        <w:t>, </w:t>
      </w:r>
      <w:r w:rsidRPr="00DF2141">
        <w:rPr>
          <w:rFonts w:ascii="Times New Roman" w:hAnsi="Times New Roman" w:cs="Times New Roman"/>
          <w:i/>
          <w:iCs/>
          <w:sz w:val="24"/>
          <w:szCs w:val="24"/>
          <w:shd w:val="clear" w:color="auto" w:fill="FFFFFF"/>
        </w:rPr>
        <w:t>27</w:t>
      </w:r>
      <w:r w:rsidRPr="00DF2141">
        <w:rPr>
          <w:rFonts w:ascii="Times New Roman" w:hAnsi="Times New Roman" w:cs="Times New Roman"/>
          <w:sz w:val="24"/>
          <w:szCs w:val="24"/>
          <w:shd w:val="clear" w:color="auto" w:fill="FFFFFF"/>
        </w:rPr>
        <w:t>(1), 325-331.</w:t>
      </w:r>
    </w:p>
    <w:sectPr w:rsidR="00DF2141" w:rsidRPr="00DF2141" w:rsidSect="00DF21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830" w:rsidRDefault="005D6830" w:rsidP="00DF2141">
      <w:pPr>
        <w:spacing w:after="0" w:line="240" w:lineRule="auto"/>
      </w:pPr>
      <w:r>
        <w:separator/>
      </w:r>
    </w:p>
  </w:endnote>
  <w:endnote w:type="continuationSeparator" w:id="0">
    <w:p w:rsidR="005D6830" w:rsidRDefault="005D6830" w:rsidP="00DF2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830" w:rsidRDefault="005D6830" w:rsidP="00DF2141">
      <w:pPr>
        <w:spacing w:after="0" w:line="240" w:lineRule="auto"/>
      </w:pPr>
      <w:r>
        <w:separator/>
      </w:r>
    </w:p>
  </w:footnote>
  <w:footnote w:type="continuationSeparator" w:id="0">
    <w:p w:rsidR="005D6830" w:rsidRDefault="005D6830" w:rsidP="00DF2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141" w:rsidRPr="00DF2141" w:rsidRDefault="00DF2141">
    <w:pPr>
      <w:pStyle w:val="Header"/>
      <w:rPr>
        <w:rFonts w:ascii="Times New Roman" w:hAnsi="Times New Roman" w:cs="Times New Roman"/>
        <w:sz w:val="24"/>
        <w:szCs w:val="24"/>
      </w:rPr>
    </w:pPr>
    <w:r w:rsidRPr="00DF2141">
      <w:rPr>
        <w:rFonts w:ascii="Times New Roman" w:hAnsi="Times New Roman" w:cs="Times New Roman"/>
        <w:bCs/>
        <w:sz w:val="24"/>
        <w:szCs w:val="24"/>
      </w:rPr>
      <w:t>CHAPTER 7</w:t>
    </w:r>
    <w:r w:rsidRPr="00DF2141">
      <w:rPr>
        <w:rFonts w:ascii="Times New Roman" w:hAnsi="Times New Roman" w:cs="Times New Roman"/>
        <w:bCs/>
        <w:sz w:val="24"/>
        <w:szCs w:val="24"/>
      </w:rPr>
      <w:tab/>
    </w:r>
    <w:r w:rsidRPr="00DF2141">
      <w:rPr>
        <w:rFonts w:ascii="Times New Roman" w:hAnsi="Times New Roman" w:cs="Times New Roman"/>
        <w:bCs/>
        <w:sz w:val="24"/>
        <w:szCs w:val="24"/>
      </w:rPr>
      <w:tab/>
    </w:r>
    <w:sdt>
      <w:sdtPr>
        <w:rPr>
          <w:rFonts w:ascii="Times New Roman" w:hAnsi="Times New Roman" w:cs="Times New Roman"/>
          <w:sz w:val="24"/>
          <w:szCs w:val="24"/>
        </w:rPr>
        <w:id w:val="2013173171"/>
        <w:docPartObj>
          <w:docPartGallery w:val="Page Numbers (Top of Page)"/>
          <w:docPartUnique/>
        </w:docPartObj>
      </w:sdtPr>
      <w:sdtEndPr>
        <w:rPr>
          <w:noProof/>
        </w:rPr>
      </w:sdtEndPr>
      <w:sdtContent>
        <w:r w:rsidRPr="00DF2141">
          <w:rPr>
            <w:rFonts w:ascii="Times New Roman" w:hAnsi="Times New Roman" w:cs="Times New Roman"/>
            <w:sz w:val="24"/>
            <w:szCs w:val="24"/>
          </w:rPr>
          <w:fldChar w:fldCharType="begin"/>
        </w:r>
        <w:r w:rsidRPr="00DF2141">
          <w:rPr>
            <w:rFonts w:ascii="Times New Roman" w:hAnsi="Times New Roman" w:cs="Times New Roman"/>
            <w:sz w:val="24"/>
            <w:szCs w:val="24"/>
          </w:rPr>
          <w:instrText xml:space="preserve"> PAGE   \* MERGEFORMAT </w:instrText>
        </w:r>
        <w:r w:rsidRPr="00DF2141">
          <w:rPr>
            <w:rFonts w:ascii="Times New Roman" w:hAnsi="Times New Roman" w:cs="Times New Roman"/>
            <w:sz w:val="24"/>
            <w:szCs w:val="24"/>
          </w:rPr>
          <w:fldChar w:fldCharType="separate"/>
        </w:r>
        <w:r w:rsidR="00425CB5">
          <w:rPr>
            <w:rFonts w:ascii="Times New Roman" w:hAnsi="Times New Roman" w:cs="Times New Roman"/>
            <w:noProof/>
            <w:sz w:val="24"/>
            <w:szCs w:val="24"/>
          </w:rPr>
          <w:t>4</w:t>
        </w:r>
        <w:r w:rsidRPr="00DF2141">
          <w:rPr>
            <w:rFonts w:ascii="Times New Roman" w:hAnsi="Times New Roman" w:cs="Times New Roman"/>
            <w:noProof/>
            <w:sz w:val="24"/>
            <w:szCs w:val="24"/>
          </w:rPr>
          <w:fldChar w:fldCharType="end"/>
        </w:r>
      </w:sdtContent>
    </w:sdt>
  </w:p>
  <w:p w:rsidR="00DF2141" w:rsidRPr="00DF2141" w:rsidRDefault="00DF21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141" w:rsidRPr="00DF2141" w:rsidRDefault="00DF2141" w:rsidP="00DF2141">
    <w:pPr>
      <w:rPr>
        <w:rFonts w:ascii="Times New Roman" w:hAnsi="Times New Roman" w:cs="Times New Roman"/>
        <w:sz w:val="24"/>
        <w:szCs w:val="24"/>
      </w:rPr>
    </w:pPr>
    <w:r w:rsidRPr="00DF2141">
      <w:rPr>
        <w:rFonts w:ascii="Times New Roman" w:hAnsi="Times New Roman" w:cs="Times New Roman"/>
        <w:sz w:val="24"/>
        <w:szCs w:val="24"/>
      </w:rPr>
      <w:t xml:space="preserve">Running head: </w:t>
    </w:r>
    <w:r w:rsidRPr="00DF2141">
      <w:rPr>
        <w:rFonts w:ascii="Times New Roman" w:hAnsi="Times New Roman" w:cs="Times New Roman"/>
        <w:bCs/>
        <w:sz w:val="24"/>
        <w:szCs w:val="24"/>
      </w:rPr>
      <w:t>CHAPTER 7</w:t>
    </w:r>
    <w:r w:rsidRPr="00DF2141">
      <w:rPr>
        <w:rFonts w:ascii="Times New Roman" w:hAnsi="Times New Roman" w:cs="Times New Roman"/>
        <w:bCs/>
        <w:sz w:val="24"/>
        <w:szCs w:val="24"/>
      </w:rPr>
      <w:tab/>
    </w:r>
    <w:r w:rsidRPr="00DF2141">
      <w:rPr>
        <w:rFonts w:ascii="Times New Roman" w:hAnsi="Times New Roman" w:cs="Times New Roman"/>
        <w:bCs/>
        <w:sz w:val="24"/>
        <w:szCs w:val="24"/>
      </w:rPr>
      <w:tab/>
    </w:r>
    <w:r w:rsidRPr="00DF2141">
      <w:rPr>
        <w:rFonts w:ascii="Times New Roman" w:hAnsi="Times New Roman" w:cs="Times New Roman"/>
        <w:bCs/>
        <w:sz w:val="24"/>
        <w:szCs w:val="24"/>
      </w:rPr>
      <w:tab/>
    </w:r>
    <w:r w:rsidRPr="00DF2141">
      <w:rPr>
        <w:rFonts w:ascii="Times New Roman" w:hAnsi="Times New Roman" w:cs="Times New Roman"/>
        <w:bCs/>
        <w:sz w:val="24"/>
        <w:szCs w:val="24"/>
      </w:rPr>
      <w:tab/>
    </w:r>
    <w:r w:rsidRPr="00DF2141">
      <w:rPr>
        <w:rFonts w:ascii="Times New Roman" w:hAnsi="Times New Roman" w:cs="Times New Roman"/>
        <w:bCs/>
        <w:sz w:val="24"/>
        <w:szCs w:val="24"/>
      </w:rPr>
      <w:tab/>
    </w:r>
    <w:r w:rsidRPr="00DF2141">
      <w:rPr>
        <w:rFonts w:ascii="Times New Roman" w:hAnsi="Times New Roman" w:cs="Times New Roman"/>
        <w:bCs/>
        <w:sz w:val="24"/>
        <w:szCs w:val="24"/>
      </w:rPr>
      <w:tab/>
    </w:r>
    <w:r w:rsidRPr="00DF2141">
      <w:rPr>
        <w:rFonts w:ascii="Times New Roman" w:hAnsi="Times New Roman" w:cs="Times New Roman"/>
        <w:bCs/>
        <w:sz w:val="24"/>
        <w:szCs w:val="24"/>
      </w:rPr>
      <w:tab/>
    </w:r>
    <w:r w:rsidRPr="00DF2141">
      <w:rPr>
        <w:rFonts w:ascii="Times New Roman" w:hAnsi="Times New Roman" w:cs="Times New Roman"/>
        <w:bCs/>
        <w:sz w:val="24"/>
        <w:szCs w:val="24"/>
      </w:rPr>
      <w:tab/>
    </w:r>
    <w:r w:rsidRPr="00DF2141">
      <w:rPr>
        <w:rFonts w:ascii="Times New Roman" w:hAnsi="Times New Roman" w:cs="Times New Roman"/>
        <w:bCs/>
        <w:sz w:val="24"/>
        <w:szCs w:val="24"/>
      </w:rPr>
      <w:tab/>
      <w:t xml:space="preserve">        </w:t>
    </w:r>
    <w:sdt>
      <w:sdtPr>
        <w:rPr>
          <w:rFonts w:ascii="Times New Roman" w:hAnsi="Times New Roman" w:cs="Times New Roman"/>
          <w:sz w:val="24"/>
          <w:szCs w:val="24"/>
        </w:rPr>
        <w:id w:val="-1655284665"/>
        <w:docPartObj>
          <w:docPartGallery w:val="Page Numbers (Top of Page)"/>
          <w:docPartUnique/>
        </w:docPartObj>
      </w:sdtPr>
      <w:sdtEndPr>
        <w:rPr>
          <w:noProof/>
        </w:rPr>
      </w:sdtEndPr>
      <w:sdtContent>
        <w:r w:rsidRPr="00DF2141">
          <w:rPr>
            <w:rFonts w:ascii="Times New Roman" w:hAnsi="Times New Roman" w:cs="Times New Roman"/>
            <w:sz w:val="24"/>
            <w:szCs w:val="24"/>
          </w:rPr>
          <w:fldChar w:fldCharType="begin"/>
        </w:r>
        <w:r w:rsidRPr="00DF2141">
          <w:rPr>
            <w:rFonts w:ascii="Times New Roman" w:hAnsi="Times New Roman" w:cs="Times New Roman"/>
            <w:sz w:val="24"/>
            <w:szCs w:val="24"/>
          </w:rPr>
          <w:instrText xml:space="preserve"> PAGE   \* MERGEFORMAT </w:instrText>
        </w:r>
        <w:r w:rsidRPr="00DF2141">
          <w:rPr>
            <w:rFonts w:ascii="Times New Roman" w:hAnsi="Times New Roman" w:cs="Times New Roman"/>
            <w:sz w:val="24"/>
            <w:szCs w:val="24"/>
          </w:rPr>
          <w:fldChar w:fldCharType="separate"/>
        </w:r>
        <w:r w:rsidR="00425CB5">
          <w:rPr>
            <w:rFonts w:ascii="Times New Roman" w:hAnsi="Times New Roman" w:cs="Times New Roman"/>
            <w:noProof/>
            <w:sz w:val="24"/>
            <w:szCs w:val="24"/>
          </w:rPr>
          <w:t>1</w:t>
        </w:r>
        <w:r w:rsidRPr="00DF2141">
          <w:rPr>
            <w:rFonts w:ascii="Times New Roman" w:hAnsi="Times New Roman" w:cs="Times New Roman"/>
            <w:noProof/>
            <w:sz w:val="24"/>
            <w:szCs w:val="24"/>
          </w:rPr>
          <w:fldChar w:fldCharType="end"/>
        </w:r>
      </w:sdtContent>
    </w:sdt>
  </w:p>
  <w:p w:rsidR="00DF2141" w:rsidRPr="00DF2141" w:rsidRDefault="00DF21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FFD"/>
    <w:rsid w:val="00043E9F"/>
    <w:rsid w:val="001F6741"/>
    <w:rsid w:val="00386E83"/>
    <w:rsid w:val="003F284B"/>
    <w:rsid w:val="00425CB5"/>
    <w:rsid w:val="005D6744"/>
    <w:rsid w:val="005D6830"/>
    <w:rsid w:val="007902DD"/>
    <w:rsid w:val="00814A15"/>
    <w:rsid w:val="00837FFD"/>
    <w:rsid w:val="008C69EA"/>
    <w:rsid w:val="008F412B"/>
    <w:rsid w:val="00932221"/>
    <w:rsid w:val="00944244"/>
    <w:rsid w:val="009B3B93"/>
    <w:rsid w:val="00A73F90"/>
    <w:rsid w:val="00B63E84"/>
    <w:rsid w:val="00D41779"/>
    <w:rsid w:val="00DF2141"/>
    <w:rsid w:val="00E1052A"/>
    <w:rsid w:val="00E76AFF"/>
    <w:rsid w:val="00EC4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FFB13-59AB-4D8F-BD5E-98B188265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6A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2221"/>
    <w:rPr>
      <w:b/>
      <w:bCs/>
    </w:rPr>
  </w:style>
  <w:style w:type="paragraph" w:styleId="Header">
    <w:name w:val="header"/>
    <w:basedOn w:val="Normal"/>
    <w:link w:val="HeaderChar"/>
    <w:uiPriority w:val="99"/>
    <w:unhideWhenUsed/>
    <w:rsid w:val="00DF2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141"/>
  </w:style>
  <w:style w:type="paragraph" w:styleId="Footer">
    <w:name w:val="footer"/>
    <w:basedOn w:val="Normal"/>
    <w:link w:val="FooterChar"/>
    <w:uiPriority w:val="99"/>
    <w:unhideWhenUsed/>
    <w:rsid w:val="00DF2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43271">
      <w:bodyDiv w:val="1"/>
      <w:marLeft w:val="0"/>
      <w:marRight w:val="0"/>
      <w:marTop w:val="0"/>
      <w:marBottom w:val="0"/>
      <w:divBdr>
        <w:top w:val="none" w:sz="0" w:space="0" w:color="auto"/>
        <w:left w:val="none" w:sz="0" w:space="0" w:color="auto"/>
        <w:bottom w:val="none" w:sz="0" w:space="0" w:color="auto"/>
        <w:right w:val="none" w:sz="0" w:space="0" w:color="auto"/>
      </w:divBdr>
    </w:div>
    <w:div w:id="21347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4</cp:revision>
  <dcterms:created xsi:type="dcterms:W3CDTF">2020-04-26T13:54:00Z</dcterms:created>
  <dcterms:modified xsi:type="dcterms:W3CDTF">2020-04-26T13:55:00Z</dcterms:modified>
</cp:coreProperties>
</file>